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DB" w:rsidRDefault="00F0734B" w:rsidP="00B81DDB">
      <w:pPr>
        <w:pStyle w:val="KTHTitel"/>
      </w:pPr>
      <w:bookmarkStart w:id="0" w:name="_GoBack"/>
      <w:bookmarkEnd w:id="0"/>
      <w:r>
        <w:t>AG2805</w:t>
      </w:r>
      <w:r w:rsidR="00B81DDB">
        <w:t xml:space="preserve"> Life-cycle approaches for Sustainable Urban Development: Lab exercise </w:t>
      </w:r>
    </w:p>
    <w:p w:rsidR="00B81DDB" w:rsidRPr="00B81DDB" w:rsidRDefault="00B81DDB" w:rsidP="00B81DDB">
      <w:pPr>
        <w:pStyle w:val="KTHnRubrik1"/>
      </w:pPr>
      <w:r>
        <w:t>Introduction</w:t>
      </w:r>
    </w:p>
    <w:p w:rsidR="00051859" w:rsidRDefault="00051859" w:rsidP="001741B3">
      <w:pPr>
        <w:rPr>
          <w:sz w:val="24"/>
          <w:szCs w:val="24"/>
        </w:rPr>
      </w:pPr>
      <w:r w:rsidRPr="00051859">
        <w:rPr>
          <w:sz w:val="24"/>
          <w:szCs w:val="24"/>
        </w:rPr>
        <w:t xml:space="preserve">In </w:t>
      </w:r>
      <w:r>
        <w:rPr>
          <w:sz w:val="24"/>
          <w:szCs w:val="24"/>
        </w:rPr>
        <w:t>this assignment you will use an</w:t>
      </w:r>
      <w:r w:rsidRPr="00051859">
        <w:rPr>
          <w:sz w:val="24"/>
          <w:szCs w:val="24"/>
        </w:rPr>
        <w:t xml:space="preserve"> excel tool to</w:t>
      </w:r>
      <w:r>
        <w:rPr>
          <w:sz w:val="24"/>
          <w:szCs w:val="24"/>
        </w:rPr>
        <w:t xml:space="preserve"> compare different design alternatives for a </w:t>
      </w:r>
      <w:r w:rsidRPr="00051859">
        <w:rPr>
          <w:sz w:val="24"/>
          <w:szCs w:val="24"/>
        </w:rPr>
        <w:t>mu</w:t>
      </w:r>
      <w:r>
        <w:rPr>
          <w:sz w:val="24"/>
          <w:szCs w:val="24"/>
        </w:rPr>
        <w:t xml:space="preserve">ltifamily residential building </w:t>
      </w:r>
      <w:r w:rsidR="00B81DDB">
        <w:rPr>
          <w:sz w:val="24"/>
          <w:szCs w:val="24"/>
        </w:rPr>
        <w:t>in terms of</w:t>
      </w:r>
      <w:r w:rsidR="00777DF3">
        <w:rPr>
          <w:sz w:val="24"/>
          <w:szCs w:val="24"/>
        </w:rPr>
        <w:t xml:space="preserve"> global warming potential</w:t>
      </w:r>
      <w:r w:rsidRPr="00051859">
        <w:rPr>
          <w:sz w:val="24"/>
          <w:szCs w:val="24"/>
        </w:rPr>
        <w:t xml:space="preserve"> </w:t>
      </w:r>
      <w:r w:rsidR="00777DF3">
        <w:rPr>
          <w:sz w:val="24"/>
          <w:szCs w:val="24"/>
        </w:rPr>
        <w:t>(</w:t>
      </w:r>
      <w:r w:rsidRPr="00051859">
        <w:rPr>
          <w:sz w:val="24"/>
          <w:szCs w:val="24"/>
        </w:rPr>
        <w:t>GWP</w:t>
      </w:r>
      <w:r w:rsidR="00777DF3">
        <w:rPr>
          <w:sz w:val="24"/>
          <w:szCs w:val="24"/>
        </w:rPr>
        <w:t>)</w:t>
      </w:r>
      <w:r w:rsidRPr="00051859">
        <w:rPr>
          <w:sz w:val="24"/>
          <w:szCs w:val="24"/>
        </w:rPr>
        <w:t xml:space="preserve"> </w:t>
      </w:r>
      <w:r>
        <w:rPr>
          <w:sz w:val="24"/>
          <w:szCs w:val="24"/>
        </w:rPr>
        <w:t>on a life-cycle basis. It is an example that is based on calculations that were recently performed in the early stages of a multifamily housing development in Greater Stockholm.</w:t>
      </w:r>
    </w:p>
    <w:p w:rsidR="00B81DDB" w:rsidRDefault="00B81DDB" w:rsidP="00B81DDB">
      <w:pPr>
        <w:pStyle w:val="KTHnRubrik2"/>
      </w:pPr>
      <w:r>
        <w:t>The assessment method</w:t>
      </w:r>
    </w:p>
    <w:p w:rsidR="00B81DDB" w:rsidRDefault="00B81DDB" w:rsidP="00B81DDB">
      <w:pPr>
        <w:pStyle w:val="BodyText"/>
        <w:rPr>
          <w:sz w:val="24"/>
          <w:szCs w:val="24"/>
        </w:rPr>
      </w:pPr>
      <w:r w:rsidRPr="00B81DDB">
        <w:rPr>
          <w:sz w:val="24"/>
          <w:szCs w:val="24"/>
        </w:rPr>
        <w:t>The assessment uses a</w:t>
      </w:r>
      <w:r w:rsidR="00FE2E0E">
        <w:rPr>
          <w:sz w:val="24"/>
          <w:szCs w:val="24"/>
        </w:rPr>
        <w:t xml:space="preserve"> simplified</w:t>
      </w:r>
      <w:r w:rsidRPr="00B81DDB">
        <w:rPr>
          <w:sz w:val="24"/>
          <w:szCs w:val="24"/>
        </w:rPr>
        <w:t xml:space="preserve"> life-cycle approach</w:t>
      </w:r>
      <w:r w:rsidR="00FE2E0E">
        <w:rPr>
          <w:sz w:val="24"/>
          <w:szCs w:val="24"/>
        </w:rPr>
        <w:t xml:space="preserve"> that considers only the operational energy in the use stage (including user electricity and heating energy) and the product stage. </w:t>
      </w:r>
    </w:p>
    <w:p w:rsidR="00FE2E0E" w:rsidRPr="00B81DDB" w:rsidRDefault="00FE2E0E" w:rsidP="00B81DD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alternatives are will be assessed in terms of GWP only. </w:t>
      </w:r>
    </w:p>
    <w:p w:rsidR="00051859" w:rsidRDefault="00FE2E0E" w:rsidP="00FE2E0E">
      <w:pPr>
        <w:pStyle w:val="KTHnRubrik2"/>
      </w:pPr>
      <w:r>
        <w:t>The building</w:t>
      </w:r>
    </w:p>
    <w:p w:rsidR="00FE2E0E" w:rsidRPr="00FE2E0E" w:rsidRDefault="00FE2E0E" w:rsidP="00FE2E0E">
      <w:pPr>
        <w:pStyle w:val="BodyText"/>
        <w:rPr>
          <w:sz w:val="24"/>
          <w:szCs w:val="24"/>
        </w:rPr>
      </w:pPr>
      <w:r w:rsidRPr="00FE2E0E">
        <w:rPr>
          <w:sz w:val="24"/>
          <w:szCs w:val="24"/>
        </w:rPr>
        <w:t>The building has a number of set properties and functional requirements that ar</w:t>
      </w:r>
      <w:r>
        <w:rPr>
          <w:sz w:val="24"/>
          <w:szCs w:val="24"/>
        </w:rPr>
        <w:t>e constant for all alternatives as follows:</w:t>
      </w:r>
    </w:p>
    <w:p w:rsidR="00051859" w:rsidRDefault="00051859" w:rsidP="001741B3">
      <w:pPr>
        <w:rPr>
          <w:sz w:val="24"/>
          <w:szCs w:val="24"/>
        </w:rPr>
      </w:pPr>
      <w:r w:rsidRPr="00051859">
        <w:rPr>
          <w:b/>
          <w:sz w:val="24"/>
          <w:szCs w:val="24"/>
        </w:rPr>
        <w:t>Number of residents:</w:t>
      </w:r>
      <w:r>
        <w:rPr>
          <w:sz w:val="24"/>
          <w:szCs w:val="24"/>
        </w:rPr>
        <w:t xml:space="preserve"> 12</w:t>
      </w:r>
    </w:p>
    <w:p w:rsidR="00051859" w:rsidRDefault="00051859" w:rsidP="001741B3">
      <w:pPr>
        <w:rPr>
          <w:b/>
          <w:sz w:val="24"/>
          <w:szCs w:val="24"/>
        </w:rPr>
      </w:pPr>
    </w:p>
    <w:p w:rsidR="00051859" w:rsidRDefault="00051859" w:rsidP="001741B3">
      <w:pPr>
        <w:rPr>
          <w:sz w:val="24"/>
          <w:szCs w:val="24"/>
        </w:rPr>
      </w:pPr>
      <w:r w:rsidRPr="00051859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Greater Stockholm (Swedish climate)</w:t>
      </w:r>
    </w:p>
    <w:p w:rsidR="00051859" w:rsidRDefault="00051859" w:rsidP="001741B3">
      <w:pPr>
        <w:rPr>
          <w:b/>
          <w:sz w:val="24"/>
          <w:szCs w:val="24"/>
        </w:rPr>
      </w:pPr>
    </w:p>
    <w:p w:rsidR="00051859" w:rsidRDefault="00051859" w:rsidP="001741B3">
      <w:pPr>
        <w:rPr>
          <w:sz w:val="24"/>
          <w:szCs w:val="24"/>
        </w:rPr>
      </w:pPr>
      <w:r w:rsidRPr="00051859">
        <w:rPr>
          <w:b/>
          <w:sz w:val="24"/>
          <w:szCs w:val="24"/>
        </w:rPr>
        <w:t>Passive house standard building elements:</w:t>
      </w:r>
      <w:r>
        <w:rPr>
          <w:sz w:val="24"/>
          <w:szCs w:val="24"/>
        </w:rPr>
        <w:t xml:space="preserve"> ‘best available technology’ insulation</w:t>
      </w:r>
      <w:r w:rsidR="00777DF3">
        <w:rPr>
          <w:sz w:val="24"/>
          <w:szCs w:val="24"/>
        </w:rPr>
        <w:t xml:space="preserve"> thickness</w:t>
      </w:r>
      <w:r>
        <w:rPr>
          <w:sz w:val="24"/>
          <w:szCs w:val="24"/>
        </w:rPr>
        <w:t xml:space="preserve"> for outer walls, windows, roof and foundation insulation, and high efficiency exhaust air heat recovery ventilation system. </w:t>
      </w:r>
    </w:p>
    <w:p w:rsidR="00051859" w:rsidRDefault="00051859" w:rsidP="001741B3">
      <w:pPr>
        <w:rPr>
          <w:b/>
          <w:sz w:val="24"/>
          <w:szCs w:val="24"/>
        </w:rPr>
      </w:pPr>
    </w:p>
    <w:p w:rsidR="00051859" w:rsidRPr="00051859" w:rsidRDefault="00051859" w:rsidP="001741B3">
      <w:pPr>
        <w:rPr>
          <w:b/>
          <w:sz w:val="24"/>
          <w:szCs w:val="24"/>
        </w:rPr>
      </w:pPr>
      <w:r w:rsidRPr="00051859">
        <w:rPr>
          <w:b/>
          <w:sz w:val="24"/>
          <w:szCs w:val="24"/>
        </w:rPr>
        <w:t xml:space="preserve">Number of floors: </w:t>
      </w:r>
      <w:r w:rsidRPr="00051859">
        <w:rPr>
          <w:sz w:val="24"/>
          <w:szCs w:val="24"/>
        </w:rPr>
        <w:t>3</w:t>
      </w:r>
    </w:p>
    <w:p w:rsidR="00051859" w:rsidRDefault="00051859" w:rsidP="001741B3">
      <w:pPr>
        <w:rPr>
          <w:sz w:val="24"/>
          <w:szCs w:val="24"/>
        </w:rPr>
      </w:pPr>
    </w:p>
    <w:p w:rsidR="00051859" w:rsidRDefault="00051859" w:rsidP="001741B3">
      <w:pPr>
        <w:rPr>
          <w:sz w:val="24"/>
          <w:szCs w:val="24"/>
        </w:rPr>
      </w:pPr>
      <w:r w:rsidRPr="00051859">
        <w:rPr>
          <w:b/>
          <w:sz w:val="24"/>
          <w:szCs w:val="24"/>
        </w:rPr>
        <w:t>Assumed building lifetime:</w:t>
      </w:r>
      <w:r>
        <w:rPr>
          <w:sz w:val="24"/>
          <w:szCs w:val="24"/>
        </w:rPr>
        <w:t xml:space="preserve"> 50 years</w:t>
      </w:r>
    </w:p>
    <w:p w:rsidR="00B81DDB" w:rsidRDefault="00B81DDB" w:rsidP="001741B3">
      <w:pPr>
        <w:rPr>
          <w:sz w:val="24"/>
          <w:szCs w:val="24"/>
        </w:rPr>
      </w:pPr>
    </w:p>
    <w:p w:rsidR="00B81DDB" w:rsidRDefault="00B81DDB" w:rsidP="001741B3">
      <w:pPr>
        <w:rPr>
          <w:sz w:val="24"/>
          <w:szCs w:val="24"/>
        </w:rPr>
      </w:pPr>
    </w:p>
    <w:p w:rsidR="00B81DDB" w:rsidRDefault="00B81DDB" w:rsidP="001741B3">
      <w:pPr>
        <w:rPr>
          <w:sz w:val="24"/>
          <w:szCs w:val="24"/>
        </w:rPr>
      </w:pPr>
      <w:r>
        <w:rPr>
          <w:sz w:val="24"/>
          <w:szCs w:val="24"/>
        </w:rPr>
        <w:t>The design choices available in the tool are as follows:</w:t>
      </w:r>
    </w:p>
    <w:p w:rsidR="00B81DDB" w:rsidRDefault="00B81DDB" w:rsidP="001741B3">
      <w:pPr>
        <w:rPr>
          <w:sz w:val="24"/>
          <w:szCs w:val="24"/>
        </w:rPr>
      </w:pPr>
    </w:p>
    <w:p w:rsidR="00B81DDB" w:rsidRDefault="00B81DDB" w:rsidP="001741B3">
      <w:pPr>
        <w:rPr>
          <w:sz w:val="24"/>
          <w:szCs w:val="24"/>
        </w:rPr>
      </w:pPr>
      <w:r w:rsidRPr="00FE2E0E">
        <w:rPr>
          <w:b/>
          <w:sz w:val="24"/>
          <w:szCs w:val="24"/>
        </w:rPr>
        <w:t>Frame material:</w:t>
      </w:r>
      <w:r>
        <w:rPr>
          <w:sz w:val="24"/>
          <w:szCs w:val="24"/>
        </w:rPr>
        <w:t xml:space="preserve"> Concrete or timber</w:t>
      </w:r>
    </w:p>
    <w:p w:rsidR="00B81DDB" w:rsidRDefault="00B81DDB" w:rsidP="001741B3">
      <w:pPr>
        <w:rPr>
          <w:sz w:val="24"/>
          <w:szCs w:val="24"/>
        </w:rPr>
      </w:pPr>
    </w:p>
    <w:p w:rsidR="00B81DDB" w:rsidRDefault="00B81DDB" w:rsidP="001741B3">
      <w:pPr>
        <w:rPr>
          <w:sz w:val="24"/>
          <w:szCs w:val="24"/>
        </w:rPr>
      </w:pPr>
      <w:r w:rsidRPr="00FE2E0E">
        <w:rPr>
          <w:b/>
          <w:sz w:val="24"/>
          <w:szCs w:val="24"/>
        </w:rPr>
        <w:t>Shape of floor plan:</w:t>
      </w:r>
      <w:r>
        <w:rPr>
          <w:sz w:val="24"/>
          <w:szCs w:val="24"/>
        </w:rPr>
        <w:t xml:space="preserve"> Square or Rectangular</w:t>
      </w:r>
    </w:p>
    <w:p w:rsidR="00B81DDB" w:rsidRDefault="00B81DDB" w:rsidP="001741B3">
      <w:pPr>
        <w:rPr>
          <w:sz w:val="24"/>
          <w:szCs w:val="24"/>
        </w:rPr>
      </w:pPr>
    </w:p>
    <w:p w:rsidR="00B81DDB" w:rsidRDefault="00B81DDB" w:rsidP="001741B3">
      <w:pPr>
        <w:rPr>
          <w:sz w:val="24"/>
          <w:szCs w:val="24"/>
        </w:rPr>
      </w:pPr>
      <w:r w:rsidRPr="00FE2E0E">
        <w:rPr>
          <w:b/>
          <w:sz w:val="24"/>
          <w:szCs w:val="24"/>
        </w:rPr>
        <w:t>Heating technology:</w:t>
      </w:r>
      <w:r>
        <w:rPr>
          <w:sz w:val="24"/>
          <w:szCs w:val="24"/>
        </w:rPr>
        <w:t xml:space="preserve"> District heating (Stockholm network) or Heat pump</w:t>
      </w:r>
    </w:p>
    <w:p w:rsidR="00B81DDB" w:rsidRDefault="00B81DDB" w:rsidP="001741B3">
      <w:pPr>
        <w:rPr>
          <w:sz w:val="24"/>
          <w:szCs w:val="24"/>
        </w:rPr>
      </w:pPr>
    </w:p>
    <w:p w:rsidR="00B81DDB" w:rsidRDefault="00B81DDB" w:rsidP="001741B3">
      <w:pPr>
        <w:rPr>
          <w:sz w:val="24"/>
          <w:szCs w:val="24"/>
        </w:rPr>
      </w:pPr>
      <w:r w:rsidRPr="00FE2E0E">
        <w:rPr>
          <w:b/>
          <w:sz w:val="24"/>
          <w:szCs w:val="24"/>
        </w:rPr>
        <w:t>Inhabitant density:</w:t>
      </w:r>
      <w:r>
        <w:rPr>
          <w:sz w:val="24"/>
          <w:szCs w:val="24"/>
        </w:rPr>
        <w:t xml:space="preserve"> Swedish average density (42 m</w:t>
      </w:r>
      <w:r w:rsidRPr="00B81DD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per person), Swedish average +25% or Swedish average -25% </w:t>
      </w:r>
    </w:p>
    <w:p w:rsidR="00777DF3" w:rsidRDefault="00777DF3" w:rsidP="001741B3">
      <w:pPr>
        <w:rPr>
          <w:sz w:val="24"/>
          <w:szCs w:val="24"/>
        </w:rPr>
      </w:pPr>
    </w:p>
    <w:p w:rsidR="00777DF3" w:rsidRPr="00777DF3" w:rsidRDefault="00777DF3" w:rsidP="001741B3">
      <w:pPr>
        <w:rPr>
          <w:b/>
          <w:sz w:val="24"/>
          <w:szCs w:val="24"/>
        </w:rPr>
      </w:pPr>
      <w:r w:rsidRPr="00777DF3">
        <w:rPr>
          <w:b/>
          <w:sz w:val="24"/>
          <w:szCs w:val="24"/>
        </w:rPr>
        <w:t xml:space="preserve">Window size: </w:t>
      </w:r>
      <w:r w:rsidRPr="00777DF3">
        <w:rPr>
          <w:sz w:val="24"/>
          <w:szCs w:val="24"/>
        </w:rPr>
        <w:t>10 % of floor area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Miljöbyggnad</w:t>
      </w:r>
      <w:proofErr w:type="spellEnd"/>
      <w:r>
        <w:rPr>
          <w:sz w:val="24"/>
          <w:szCs w:val="24"/>
        </w:rPr>
        <w:t xml:space="preserve"> Bronze)</w:t>
      </w:r>
      <w:r w:rsidRPr="00777DF3">
        <w:rPr>
          <w:sz w:val="24"/>
          <w:szCs w:val="24"/>
        </w:rPr>
        <w:t>, 15 % of floor area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Miljöbyggnad</w:t>
      </w:r>
      <w:proofErr w:type="spellEnd"/>
      <w:r>
        <w:rPr>
          <w:sz w:val="24"/>
          <w:szCs w:val="24"/>
        </w:rPr>
        <w:t xml:space="preserve"> Gold and Silver)</w:t>
      </w:r>
      <w:r w:rsidRPr="00777DF3">
        <w:rPr>
          <w:sz w:val="24"/>
          <w:szCs w:val="24"/>
        </w:rPr>
        <w:t>, 20 % of floor area</w:t>
      </w:r>
      <w:r>
        <w:rPr>
          <w:sz w:val="24"/>
          <w:szCs w:val="24"/>
        </w:rPr>
        <w:t xml:space="preserve"> (larger)</w:t>
      </w:r>
      <w:r>
        <w:rPr>
          <w:b/>
          <w:sz w:val="24"/>
          <w:szCs w:val="24"/>
        </w:rPr>
        <w:t xml:space="preserve"> </w:t>
      </w:r>
    </w:p>
    <w:p w:rsidR="00B81DDB" w:rsidRDefault="00B81DDB" w:rsidP="001741B3">
      <w:pPr>
        <w:rPr>
          <w:sz w:val="24"/>
          <w:szCs w:val="24"/>
        </w:rPr>
      </w:pPr>
    </w:p>
    <w:p w:rsidR="00FE2E0E" w:rsidRDefault="00FE2E0E" w:rsidP="001741B3">
      <w:pPr>
        <w:rPr>
          <w:sz w:val="24"/>
          <w:szCs w:val="24"/>
        </w:rPr>
      </w:pPr>
    </w:p>
    <w:p w:rsidR="00FE2E0E" w:rsidRDefault="00FE2E0E" w:rsidP="001741B3">
      <w:pPr>
        <w:rPr>
          <w:sz w:val="24"/>
          <w:szCs w:val="24"/>
        </w:rPr>
      </w:pPr>
    </w:p>
    <w:p w:rsidR="00FE2E0E" w:rsidRDefault="00FE2E0E" w:rsidP="001741B3">
      <w:pPr>
        <w:rPr>
          <w:sz w:val="24"/>
          <w:szCs w:val="24"/>
        </w:rPr>
      </w:pPr>
    </w:p>
    <w:p w:rsidR="00FE2E0E" w:rsidRDefault="00FE2E0E" w:rsidP="001741B3">
      <w:pPr>
        <w:rPr>
          <w:sz w:val="24"/>
          <w:szCs w:val="24"/>
        </w:rPr>
      </w:pPr>
    </w:p>
    <w:p w:rsidR="00B81DDB" w:rsidRDefault="00FE2E0E" w:rsidP="00FE2E0E">
      <w:pPr>
        <w:pStyle w:val="KTHnRubrik1"/>
      </w:pPr>
      <w:r>
        <w:t>The Task</w:t>
      </w:r>
    </w:p>
    <w:p w:rsidR="000A6271" w:rsidRDefault="000A6271" w:rsidP="001741B3">
      <w:pPr>
        <w:rPr>
          <w:sz w:val="24"/>
          <w:szCs w:val="24"/>
        </w:rPr>
      </w:pPr>
      <w:r>
        <w:rPr>
          <w:sz w:val="24"/>
          <w:szCs w:val="24"/>
        </w:rPr>
        <w:t>Work in pairs.</w:t>
      </w:r>
    </w:p>
    <w:p w:rsidR="000A6271" w:rsidRDefault="000A6271" w:rsidP="001741B3">
      <w:pPr>
        <w:rPr>
          <w:sz w:val="24"/>
          <w:szCs w:val="24"/>
        </w:rPr>
      </w:pPr>
    </w:p>
    <w:p w:rsidR="00B81DDB" w:rsidRDefault="00FE2E0E" w:rsidP="001741B3">
      <w:pPr>
        <w:rPr>
          <w:sz w:val="24"/>
          <w:szCs w:val="24"/>
        </w:rPr>
      </w:pPr>
      <w:r>
        <w:rPr>
          <w:sz w:val="24"/>
          <w:szCs w:val="24"/>
        </w:rPr>
        <w:t xml:space="preserve">Using the excel tool: </w:t>
      </w:r>
    </w:p>
    <w:p w:rsidR="00FE2E0E" w:rsidRDefault="00FE2E0E" w:rsidP="001741B3">
      <w:pPr>
        <w:rPr>
          <w:sz w:val="24"/>
          <w:szCs w:val="24"/>
        </w:rPr>
      </w:pPr>
    </w:p>
    <w:p w:rsidR="00B81DDB" w:rsidRPr="00FE2E0E" w:rsidRDefault="00777DF3" w:rsidP="00B81DD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E2E0E">
        <w:rPr>
          <w:sz w:val="24"/>
          <w:szCs w:val="24"/>
        </w:rPr>
        <w:t xml:space="preserve">Find and record which combination of choices gives the lowest </w:t>
      </w:r>
      <w:r w:rsidR="00FE2E0E" w:rsidRPr="00FE2E0E">
        <w:rPr>
          <w:i/>
          <w:sz w:val="24"/>
          <w:szCs w:val="24"/>
        </w:rPr>
        <w:t>GWP per year</w:t>
      </w:r>
      <w:r w:rsidR="00FE2E0E">
        <w:rPr>
          <w:i/>
          <w:sz w:val="24"/>
          <w:szCs w:val="24"/>
        </w:rPr>
        <w:t xml:space="preserve"> (GWP-low) and </w:t>
      </w:r>
      <w:r w:rsidR="00FE2E0E" w:rsidRPr="00FE2E0E">
        <w:rPr>
          <w:sz w:val="24"/>
          <w:szCs w:val="24"/>
        </w:rPr>
        <w:t>which combination of choices gives</w:t>
      </w:r>
      <w:r w:rsidR="00FE2E0E">
        <w:rPr>
          <w:i/>
          <w:sz w:val="24"/>
          <w:szCs w:val="24"/>
        </w:rPr>
        <w:t xml:space="preserve"> the highest </w:t>
      </w:r>
      <w:r w:rsidR="00FE2E0E" w:rsidRPr="00FE2E0E">
        <w:rPr>
          <w:i/>
          <w:sz w:val="24"/>
          <w:szCs w:val="24"/>
        </w:rPr>
        <w:t>GWP per year</w:t>
      </w:r>
      <w:r w:rsidR="00FE2E0E">
        <w:rPr>
          <w:i/>
          <w:sz w:val="24"/>
          <w:szCs w:val="24"/>
        </w:rPr>
        <w:t xml:space="preserve"> (GWP-high). </w:t>
      </w:r>
      <w:r w:rsidR="00FE2E0E" w:rsidRPr="00907BF4">
        <w:rPr>
          <w:sz w:val="24"/>
          <w:szCs w:val="24"/>
        </w:rPr>
        <w:t>You can copy-paste the tool results for GWP-low and GWP-high as follows</w:t>
      </w:r>
      <w:r w:rsidR="00FE2E0E">
        <w:rPr>
          <w:i/>
          <w:sz w:val="24"/>
          <w:szCs w:val="24"/>
        </w:rPr>
        <w:t xml:space="preserve">: </w:t>
      </w:r>
    </w:p>
    <w:p w:rsidR="00FE2E0E" w:rsidRDefault="00FE2E0E" w:rsidP="00FE2E0E">
      <w:pPr>
        <w:rPr>
          <w:sz w:val="24"/>
          <w:szCs w:val="24"/>
        </w:rPr>
      </w:pPr>
    </w:p>
    <w:tbl>
      <w:tblPr>
        <w:tblW w:w="10230" w:type="dxa"/>
        <w:tblInd w:w="108" w:type="dxa"/>
        <w:tblLook w:val="04A0" w:firstRow="1" w:lastRow="0" w:firstColumn="1" w:lastColumn="0" w:noHBand="0" w:noVBand="1"/>
      </w:tblPr>
      <w:tblGrid>
        <w:gridCol w:w="3416"/>
        <w:gridCol w:w="266"/>
        <w:gridCol w:w="1796"/>
        <w:gridCol w:w="1290"/>
        <w:gridCol w:w="270"/>
        <w:gridCol w:w="1632"/>
        <w:gridCol w:w="1560"/>
      </w:tblGrid>
      <w:tr w:rsidR="00907BF4" w:rsidRPr="00907BF4" w:rsidTr="00907BF4">
        <w:trPr>
          <w:trHeight w:val="31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8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Alternative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Alternative 2</w:t>
            </w:r>
          </w:p>
        </w:tc>
      </w:tr>
      <w:tr w:rsidR="00907BF4" w:rsidRPr="00907BF4" w:rsidTr="00907BF4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07BF4" w:rsidRPr="00907BF4" w:rsidTr="00907BF4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Construction material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86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Concrete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ind w:right="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Concrete</w:t>
            </w:r>
          </w:p>
        </w:tc>
      </w:tr>
      <w:tr w:rsidR="00907BF4" w:rsidRPr="00907BF4" w:rsidTr="00907BF4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Building shape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86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Rectangular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Rectangular</w:t>
            </w:r>
          </w:p>
        </w:tc>
      </w:tr>
      <w:tr w:rsidR="00907BF4" w:rsidRPr="00907BF4" w:rsidTr="00907BF4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Heating method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86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District Heating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District Heating</w:t>
            </w:r>
          </w:p>
        </w:tc>
      </w:tr>
      <w:tr w:rsidR="00907BF4" w:rsidRPr="00907BF4" w:rsidTr="00907BF4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Window area / Floor surface area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86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20% (</w:t>
            </w:r>
            <w:proofErr w:type="spellStart"/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Miljöbyggnad</w:t>
            </w:r>
            <w:proofErr w:type="spellEnd"/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Gold)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20% (</w:t>
            </w:r>
            <w:proofErr w:type="spellStart"/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Miljöbyggnad</w:t>
            </w:r>
            <w:proofErr w:type="spellEnd"/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Gold)</w:t>
            </w:r>
          </w:p>
        </w:tc>
      </w:tr>
      <w:tr w:rsidR="00907BF4" w:rsidRPr="00907BF4" w:rsidTr="00907BF4">
        <w:trPr>
          <w:trHeight w:val="31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Inhabitant density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8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High Density (Swedish average - 25%)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Aver Density (Swedish average)</w:t>
            </w:r>
          </w:p>
        </w:tc>
      </w:tr>
      <w:tr w:rsidR="00907BF4" w:rsidRPr="00907BF4" w:rsidTr="00907BF4">
        <w:trPr>
          <w:trHeight w:val="31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7BF4" w:rsidRPr="00907BF4" w:rsidTr="00907BF4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7BF4" w:rsidRPr="00907BF4" w:rsidTr="00907BF4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per m2,year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per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per m2,year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per year</w:t>
            </w:r>
          </w:p>
        </w:tc>
      </w:tr>
      <w:tr w:rsidR="00907BF4" w:rsidRPr="00907BF4" w:rsidTr="00907BF4">
        <w:trPr>
          <w:trHeight w:val="4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GWP from material kg CO</w:t>
            </w: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bscript"/>
                <w:lang w:eastAsia="en-GB"/>
              </w:rPr>
              <w:t>2</w:t>
            </w: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-eq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4.77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4.35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2193</w:t>
            </w:r>
          </w:p>
        </w:tc>
      </w:tr>
      <w:tr w:rsidR="00907BF4" w:rsidRPr="00907BF4" w:rsidTr="00907BF4">
        <w:trPr>
          <w:trHeight w:val="36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907BF4" w:rsidRPr="00907BF4" w:rsidTr="00907BF4">
        <w:trPr>
          <w:trHeight w:val="36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Energy for Heating kWh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17350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20725</w:t>
            </w:r>
          </w:p>
        </w:tc>
      </w:tr>
      <w:tr w:rsidR="00907BF4" w:rsidRPr="00907BF4" w:rsidTr="00907BF4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GWP for Heating kg CO</w:t>
            </w: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bscript"/>
                <w:lang w:eastAsia="en-GB"/>
              </w:rPr>
              <w:t>2</w:t>
            </w: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-eq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4.63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1749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2089</w:t>
            </w:r>
          </w:p>
        </w:tc>
      </w:tr>
      <w:tr w:rsidR="00907BF4" w:rsidRPr="00907BF4" w:rsidTr="00907BF4">
        <w:trPr>
          <w:trHeight w:val="36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907BF4" w:rsidRPr="00907BF4" w:rsidTr="00907BF4">
        <w:trPr>
          <w:trHeight w:val="36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User and property electricity kWh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13242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17656</w:t>
            </w:r>
          </w:p>
        </w:tc>
      </w:tr>
      <w:tr w:rsidR="00907BF4" w:rsidRPr="00907BF4" w:rsidTr="00907BF4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GWP for user electricity kg CO</w:t>
            </w: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bscript"/>
                <w:lang w:eastAsia="en-GB"/>
              </w:rPr>
              <w:t>2</w:t>
            </w: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-eq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3.50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1766</w:t>
            </w:r>
          </w:p>
        </w:tc>
      </w:tr>
      <w:tr w:rsidR="00907BF4" w:rsidRPr="00907BF4" w:rsidTr="00907BF4">
        <w:trPr>
          <w:trHeight w:val="36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907BF4" w:rsidRPr="00907BF4" w:rsidTr="00907BF4">
        <w:trPr>
          <w:trHeight w:val="36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GWP TOTAL kg CO</w:t>
            </w: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bscript"/>
                <w:lang w:eastAsia="en-GB"/>
              </w:rPr>
              <w:t>2</w:t>
            </w: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-eq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12.90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4876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6048</w:t>
            </w:r>
          </w:p>
        </w:tc>
      </w:tr>
      <w:tr w:rsidR="00907BF4" w:rsidRPr="00907BF4" w:rsidTr="00907BF4">
        <w:trPr>
          <w:trHeight w:val="30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ENERGY TOTAL, kWh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80.93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30591.67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7BF4" w:rsidRPr="00907BF4" w:rsidRDefault="00907BF4" w:rsidP="00907B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76.15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07BF4" w:rsidRPr="00907BF4" w:rsidRDefault="00907BF4" w:rsidP="00907B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07B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38380.84</w:t>
            </w:r>
          </w:p>
        </w:tc>
      </w:tr>
    </w:tbl>
    <w:p w:rsidR="00FE2E0E" w:rsidRDefault="00FE2E0E" w:rsidP="00FE2E0E">
      <w:pPr>
        <w:rPr>
          <w:sz w:val="24"/>
          <w:szCs w:val="24"/>
        </w:rPr>
      </w:pPr>
    </w:p>
    <w:p w:rsidR="0011543E" w:rsidRDefault="0011543E" w:rsidP="00777D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B. Calculate the GWP per year for GWP-low as a percentage of the GWP per year for GWP-high. </w:t>
      </w:r>
    </w:p>
    <w:p w:rsidR="0011543E" w:rsidRDefault="0011543E" w:rsidP="00777DF3">
      <w:pPr>
        <w:pStyle w:val="ListParagraph"/>
        <w:rPr>
          <w:sz w:val="24"/>
          <w:szCs w:val="24"/>
        </w:rPr>
      </w:pPr>
    </w:p>
    <w:p w:rsidR="0011543E" w:rsidRDefault="0011543E" w:rsidP="00777D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</w:t>
      </w:r>
      <w:r w:rsidR="00777DF3">
        <w:rPr>
          <w:sz w:val="24"/>
          <w:szCs w:val="24"/>
        </w:rPr>
        <w:t>. Note also</w:t>
      </w:r>
      <w:r>
        <w:rPr>
          <w:sz w:val="24"/>
          <w:szCs w:val="24"/>
        </w:rPr>
        <w:t xml:space="preserve"> the GWP per m</w:t>
      </w:r>
      <w:r w:rsidRPr="0011543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year</w:t>
      </w:r>
      <w:r w:rsidR="00777D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GWP-low and GWP-high. </w:t>
      </w:r>
    </w:p>
    <w:p w:rsidR="0011543E" w:rsidRDefault="0011543E" w:rsidP="00777DF3">
      <w:pPr>
        <w:pStyle w:val="ListParagraph"/>
        <w:rPr>
          <w:sz w:val="24"/>
          <w:szCs w:val="24"/>
        </w:rPr>
      </w:pPr>
    </w:p>
    <w:p w:rsidR="0011543E" w:rsidRDefault="0011543E" w:rsidP="00777D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Calculate the GWP per m</w:t>
      </w:r>
      <w:r w:rsidRPr="0011543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year for GWP-low as a percentage of the GWP per m</w:t>
      </w:r>
      <w:r w:rsidRPr="0011543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year for GWP-high.</w:t>
      </w:r>
    </w:p>
    <w:p w:rsidR="0011543E" w:rsidRDefault="0011543E" w:rsidP="00777DF3">
      <w:pPr>
        <w:pStyle w:val="ListParagraph"/>
        <w:rPr>
          <w:sz w:val="24"/>
          <w:szCs w:val="24"/>
        </w:rPr>
      </w:pPr>
    </w:p>
    <w:p w:rsidR="0011543E" w:rsidRDefault="0011543E" w:rsidP="00777D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E. Discuss the design-associated reasons for why the percentages calculated in parts B. and D. differ.</w:t>
      </w:r>
    </w:p>
    <w:p w:rsidR="0011543E" w:rsidRDefault="0011543E" w:rsidP="00777DF3">
      <w:pPr>
        <w:pStyle w:val="ListParagraph"/>
        <w:rPr>
          <w:sz w:val="24"/>
          <w:szCs w:val="24"/>
        </w:rPr>
      </w:pPr>
    </w:p>
    <w:p w:rsidR="00777DF3" w:rsidRDefault="00777DF3" w:rsidP="00777DF3">
      <w:pPr>
        <w:pStyle w:val="ListParagraph"/>
        <w:rPr>
          <w:sz w:val="24"/>
          <w:szCs w:val="24"/>
        </w:rPr>
      </w:pPr>
    </w:p>
    <w:p w:rsidR="00907BF4" w:rsidRDefault="00002B6C" w:rsidP="00907BF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A. </w:t>
      </w:r>
      <w:r w:rsidR="00907BF4">
        <w:rPr>
          <w:sz w:val="24"/>
          <w:szCs w:val="24"/>
        </w:rPr>
        <w:t>Compare how each alternativ</w:t>
      </w:r>
      <w:r w:rsidR="00777DF3">
        <w:rPr>
          <w:sz w:val="24"/>
          <w:szCs w:val="24"/>
        </w:rPr>
        <w:t>e for each variable affects GWP</w:t>
      </w:r>
      <w:r w:rsidR="00907BF4">
        <w:rPr>
          <w:sz w:val="24"/>
          <w:szCs w:val="24"/>
        </w:rPr>
        <w:t xml:space="preserve"> for heating, energy for heating</w:t>
      </w:r>
      <w:r w:rsidR="003D7B5A">
        <w:rPr>
          <w:sz w:val="24"/>
          <w:szCs w:val="24"/>
        </w:rPr>
        <w:t>,</w:t>
      </w:r>
      <w:r w:rsidR="00C928F9">
        <w:rPr>
          <w:sz w:val="24"/>
          <w:szCs w:val="24"/>
        </w:rPr>
        <w:t xml:space="preserve"> user and property electricity,</w:t>
      </w:r>
      <w:r w:rsidR="003D7B5A">
        <w:rPr>
          <w:sz w:val="24"/>
          <w:szCs w:val="24"/>
        </w:rPr>
        <w:t xml:space="preserve"> GWP for material and total GWP</w:t>
      </w:r>
      <w:r w:rsidR="00907BF4">
        <w:rPr>
          <w:sz w:val="24"/>
          <w:szCs w:val="24"/>
        </w:rPr>
        <w:t xml:space="preserve">. To do this you could do a parametric analysis, where </w:t>
      </w:r>
      <w:r w:rsidR="00777DF3">
        <w:rPr>
          <w:sz w:val="24"/>
          <w:szCs w:val="24"/>
        </w:rPr>
        <w:t xml:space="preserve">one variable is changed and </w:t>
      </w:r>
      <w:r w:rsidR="00907BF4">
        <w:rPr>
          <w:sz w:val="24"/>
          <w:szCs w:val="24"/>
        </w:rPr>
        <w:t xml:space="preserve">all </w:t>
      </w:r>
      <w:r w:rsidR="00777DF3">
        <w:rPr>
          <w:sz w:val="24"/>
          <w:szCs w:val="24"/>
        </w:rPr>
        <w:t>others are held constant</w:t>
      </w:r>
      <w:r w:rsidR="00907BF4">
        <w:rPr>
          <w:sz w:val="24"/>
          <w:szCs w:val="24"/>
        </w:rPr>
        <w:t>. Record the results in tables, e.g.</w:t>
      </w:r>
    </w:p>
    <w:p w:rsidR="00EE56CA" w:rsidRDefault="00EE56CA" w:rsidP="00EE56CA">
      <w:pPr>
        <w:pStyle w:val="ListParagraph"/>
        <w:rPr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235"/>
        <w:gridCol w:w="266"/>
        <w:gridCol w:w="1552"/>
        <w:gridCol w:w="1620"/>
        <w:gridCol w:w="300"/>
        <w:gridCol w:w="1927"/>
        <w:gridCol w:w="1470"/>
      </w:tblGrid>
      <w:tr w:rsidR="00EE56CA" w:rsidRPr="00EE56CA" w:rsidTr="00EE56CA">
        <w:trPr>
          <w:trHeight w:val="31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Rectangular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Square</w:t>
            </w:r>
          </w:p>
        </w:tc>
      </w:tr>
      <w:tr w:rsidR="00EE56CA" w:rsidRPr="00EE56CA" w:rsidTr="00EE56CA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E56CA" w:rsidRPr="00EE56CA" w:rsidTr="00EE56CA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Construction material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7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Concrete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Concrete</w:t>
            </w:r>
          </w:p>
        </w:tc>
      </w:tr>
      <w:tr w:rsidR="00EE56CA" w:rsidRPr="00EE56CA" w:rsidTr="00EE56CA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Building shape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7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Rectangular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Square</w:t>
            </w:r>
          </w:p>
        </w:tc>
      </w:tr>
      <w:tr w:rsidR="00EE56CA" w:rsidRPr="00EE56CA" w:rsidTr="00EE56CA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Heating method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7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Heat Pump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Heat Pump</w:t>
            </w:r>
          </w:p>
        </w:tc>
      </w:tr>
      <w:tr w:rsidR="00EE56CA" w:rsidRPr="00EE56CA" w:rsidTr="00EE56CA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Window area / Floor surface area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7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10% (</w:t>
            </w:r>
            <w:proofErr w:type="spellStart"/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Miljöbyggnad</w:t>
            </w:r>
            <w:proofErr w:type="spellEnd"/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Bronze)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20% (</w:t>
            </w:r>
            <w:proofErr w:type="spellStart"/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Miljöbyggnad</w:t>
            </w:r>
            <w:proofErr w:type="spellEnd"/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Gold)</w:t>
            </w:r>
          </w:p>
        </w:tc>
      </w:tr>
      <w:tr w:rsidR="00EE56CA" w:rsidRPr="00EE56CA" w:rsidTr="00EE56CA">
        <w:trPr>
          <w:trHeight w:val="31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Inhabitant density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7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High Density (Swedish average - 25%)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ADC773"/>
            <w:noWrap/>
            <w:vAlign w:val="center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High Density (Swedish average - 25%)</w:t>
            </w:r>
          </w:p>
        </w:tc>
      </w:tr>
      <w:tr w:rsidR="00EE56CA" w:rsidRPr="00EE56CA" w:rsidTr="00EE56CA">
        <w:trPr>
          <w:trHeight w:val="13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E56CA" w:rsidRPr="00EE56CA" w:rsidTr="00EE56CA">
        <w:trPr>
          <w:trHeight w:val="1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E56CA" w:rsidRPr="00EE56CA" w:rsidTr="00EE56CA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per m2,year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per year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per m2,year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per year</w:t>
            </w:r>
          </w:p>
        </w:tc>
      </w:tr>
      <w:tr w:rsidR="00EE56CA" w:rsidRPr="00EE56CA" w:rsidTr="00EE56CA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GWP from material kg CO</w:t>
            </w: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bscript"/>
                <w:lang w:eastAsia="en-GB"/>
              </w:rPr>
              <w:t>2</w:t>
            </w: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-eq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4.96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1875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4.29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1621</w:t>
            </w:r>
          </w:p>
        </w:tc>
      </w:tr>
      <w:tr w:rsidR="00EE56CA" w:rsidRPr="00EE56CA" w:rsidTr="00EE56CA">
        <w:trPr>
          <w:trHeight w:val="3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E56CA" w:rsidRPr="00EE56CA" w:rsidTr="00EE56CA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Energy for Heating kWh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5051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15571</w:t>
            </w:r>
          </w:p>
        </w:tc>
      </w:tr>
      <w:tr w:rsidR="00EE56CA" w:rsidRPr="00EE56CA" w:rsidTr="00EE56CA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GWP for Heating kg CO</w:t>
            </w: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bscript"/>
                <w:lang w:eastAsia="en-GB"/>
              </w:rPr>
              <w:t>2</w:t>
            </w: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-eq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4.15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1570</w:t>
            </w:r>
          </w:p>
        </w:tc>
      </w:tr>
      <w:tr w:rsidR="00EE56CA" w:rsidRPr="00EE56CA" w:rsidTr="00EE56CA">
        <w:trPr>
          <w:trHeight w:val="3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E56CA" w:rsidRPr="00EE56CA" w:rsidTr="00EE56CA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User and property electricity kWh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13242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13242</w:t>
            </w:r>
          </w:p>
        </w:tc>
      </w:tr>
      <w:tr w:rsidR="00EE56CA" w:rsidRPr="00EE56CA" w:rsidTr="00EE56CA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GWP for user and property elec. kg CO</w:t>
            </w: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bscript"/>
                <w:lang w:eastAsia="en-GB"/>
              </w:rPr>
              <w:t>2</w:t>
            </w: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-eq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3.50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1325</w:t>
            </w:r>
          </w:p>
        </w:tc>
      </w:tr>
      <w:tr w:rsidR="00EE56CA" w:rsidRPr="00EE56CA" w:rsidTr="00EE56CA">
        <w:trPr>
          <w:trHeight w:val="3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E56CA" w:rsidRPr="00EE56CA" w:rsidTr="00EE56CA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GWP TOTAL kg CO</w:t>
            </w: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bscript"/>
                <w:lang w:eastAsia="en-GB"/>
              </w:rPr>
              <w:t>2</w:t>
            </w: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-eq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9.81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3709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11.94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4515</w:t>
            </w:r>
          </w:p>
        </w:tc>
      </w:tr>
      <w:tr w:rsidR="00EE56CA" w:rsidRPr="00EE56CA" w:rsidTr="00EE56CA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ENERGY TOTAL, kWh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48.40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18293.58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E56CA" w:rsidRPr="00EE56CA" w:rsidRDefault="00EE56CA" w:rsidP="00EE56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76.22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6CA" w:rsidRPr="00EE56CA" w:rsidRDefault="00EE56CA" w:rsidP="00EE56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56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28812.61</w:t>
            </w:r>
          </w:p>
        </w:tc>
      </w:tr>
    </w:tbl>
    <w:p w:rsidR="00EE56CA" w:rsidRDefault="00EE56CA" w:rsidP="00EE56CA">
      <w:pPr>
        <w:pStyle w:val="ListParagraph"/>
        <w:rPr>
          <w:sz w:val="24"/>
          <w:szCs w:val="24"/>
        </w:rPr>
      </w:pPr>
    </w:p>
    <w:p w:rsidR="00621801" w:rsidRDefault="00002B6C" w:rsidP="00EE56CA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EE56CA">
        <w:rPr>
          <w:sz w:val="24"/>
          <w:szCs w:val="24"/>
        </w:rPr>
        <w:t>Write down an argument for why the changes in each variable affect the parameters noted</w:t>
      </w:r>
      <w:r w:rsidR="00621801">
        <w:rPr>
          <w:sz w:val="24"/>
          <w:szCs w:val="24"/>
        </w:rPr>
        <w:t xml:space="preserve"> above in the way that they do.</w:t>
      </w:r>
    </w:p>
    <w:p w:rsidR="00621801" w:rsidRDefault="00621801" w:rsidP="00EE56CA">
      <w:pPr>
        <w:rPr>
          <w:sz w:val="24"/>
          <w:szCs w:val="24"/>
        </w:rPr>
      </w:pPr>
    </w:p>
    <w:p w:rsidR="00EE56CA" w:rsidRDefault="00621801" w:rsidP="00002B6C">
      <w:pPr>
        <w:ind w:left="1304"/>
        <w:rPr>
          <w:sz w:val="24"/>
          <w:szCs w:val="24"/>
        </w:rPr>
      </w:pPr>
      <w:r w:rsidRPr="00621801">
        <w:rPr>
          <w:i/>
          <w:sz w:val="24"/>
          <w:szCs w:val="24"/>
        </w:rPr>
        <w:t>A fictitious example</w:t>
      </w:r>
      <w:r w:rsidR="00002B6C">
        <w:rPr>
          <w:i/>
          <w:sz w:val="24"/>
          <w:szCs w:val="24"/>
        </w:rPr>
        <w:t xml:space="preserve"> answer</w:t>
      </w:r>
      <w:r w:rsidRPr="00621801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E56CA">
        <w:rPr>
          <w:sz w:val="24"/>
          <w:szCs w:val="24"/>
        </w:rPr>
        <w:t xml:space="preserve"> </w:t>
      </w:r>
      <w:r>
        <w:rPr>
          <w:sz w:val="24"/>
          <w:szCs w:val="24"/>
        </w:rPr>
        <w:t>The increase in insulation thickness</w:t>
      </w:r>
      <w:r w:rsidR="00777DF3">
        <w:rPr>
          <w:sz w:val="24"/>
          <w:szCs w:val="24"/>
        </w:rPr>
        <w:t xml:space="preserve"> in walls</w:t>
      </w:r>
      <w:r>
        <w:rPr>
          <w:sz w:val="24"/>
          <w:szCs w:val="24"/>
        </w:rPr>
        <w:t xml:space="preserve"> causes the GWP due to material to increase by only about 0.8 %, but it causes the energy for heating to decrease by 10%. Therefore there is an overall decrease in GWP, though only</w:t>
      </w:r>
      <w:r w:rsidR="00777DF3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about 4 %. </w:t>
      </w:r>
      <w:r w:rsidR="0011543E">
        <w:rPr>
          <w:sz w:val="24"/>
          <w:szCs w:val="24"/>
        </w:rPr>
        <w:t>The decrease</w:t>
      </w:r>
      <w:r>
        <w:rPr>
          <w:sz w:val="24"/>
          <w:szCs w:val="24"/>
        </w:rPr>
        <w:t xml:space="preserve"> is because the measure affects the GWP for heating by a greater proportion than it increases GWP for material. However, the measure only has a small effect on heating energy demand because the bui</w:t>
      </w:r>
      <w:r w:rsidR="00777DF3">
        <w:rPr>
          <w:sz w:val="24"/>
          <w:szCs w:val="24"/>
        </w:rPr>
        <w:t>lding loses energy through roof</w:t>
      </w:r>
      <w:r>
        <w:rPr>
          <w:sz w:val="24"/>
          <w:szCs w:val="24"/>
        </w:rPr>
        <w:t>, windows and foundation as well which are unchanged.</w:t>
      </w:r>
      <w:r w:rsidR="0011543E">
        <w:rPr>
          <w:sz w:val="24"/>
          <w:szCs w:val="24"/>
        </w:rPr>
        <w:t xml:space="preserve"> Furthermore, the user and property electricity demand is not affected by the measure.</w:t>
      </w:r>
      <w:r>
        <w:rPr>
          <w:sz w:val="24"/>
          <w:szCs w:val="24"/>
        </w:rPr>
        <w:t xml:space="preserve"> The change in GWP due to </w:t>
      </w:r>
      <w:r>
        <w:rPr>
          <w:sz w:val="24"/>
          <w:szCs w:val="24"/>
        </w:rPr>
        <w:lastRenderedPageBreak/>
        <w:t xml:space="preserve">material suggests that the roof insulation is also only responsible for a very small part of the total GWP for building material. </w:t>
      </w:r>
    </w:p>
    <w:p w:rsidR="00002B6C" w:rsidRDefault="00002B6C" w:rsidP="00002B6C">
      <w:pPr>
        <w:ind w:left="1304"/>
        <w:rPr>
          <w:sz w:val="24"/>
          <w:szCs w:val="24"/>
        </w:rPr>
      </w:pPr>
    </w:p>
    <w:p w:rsidR="00002B6C" w:rsidRDefault="00002B6C" w:rsidP="00002B6C">
      <w:pPr>
        <w:rPr>
          <w:sz w:val="24"/>
          <w:szCs w:val="24"/>
        </w:rPr>
      </w:pPr>
      <w:r>
        <w:rPr>
          <w:sz w:val="24"/>
          <w:szCs w:val="24"/>
        </w:rPr>
        <w:t xml:space="preserve">C. From your earlier results identify also which of the variables have the greatest effect on the total GWP and the total energy demand, and which have a lesser effect. With reference to each variable, discuss why some have greater effect, and some have lesser. </w:t>
      </w:r>
    </w:p>
    <w:p w:rsidR="00002B6C" w:rsidRDefault="00002B6C" w:rsidP="00002B6C">
      <w:pPr>
        <w:rPr>
          <w:sz w:val="24"/>
          <w:szCs w:val="24"/>
        </w:rPr>
      </w:pPr>
    </w:p>
    <w:p w:rsidR="00002B6C" w:rsidRDefault="00002B6C" w:rsidP="00002B6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Write a reflection on what other functions and properties of the building may actually be changed by changing each variable from the perspective of different stakeholders – </w:t>
      </w:r>
    </w:p>
    <w:p w:rsidR="00002B6C" w:rsidRDefault="00002B6C" w:rsidP="00002B6C">
      <w:pPr>
        <w:ind w:left="720"/>
        <w:rPr>
          <w:sz w:val="24"/>
          <w:szCs w:val="24"/>
        </w:rPr>
      </w:pPr>
    </w:p>
    <w:p w:rsidR="00002B6C" w:rsidRPr="00002B6C" w:rsidRDefault="00002B6C" w:rsidP="00002B6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02B6C">
        <w:rPr>
          <w:sz w:val="24"/>
          <w:szCs w:val="24"/>
        </w:rPr>
        <w:t>Indoor environmental quality (thermal comfort, lighting, air quality, noise)</w:t>
      </w:r>
    </w:p>
    <w:p w:rsidR="00002B6C" w:rsidRDefault="00002B6C" w:rsidP="00002B6C">
      <w:pPr>
        <w:ind w:left="720"/>
        <w:rPr>
          <w:sz w:val="24"/>
          <w:szCs w:val="24"/>
        </w:rPr>
      </w:pPr>
    </w:p>
    <w:p w:rsidR="00002B6C" w:rsidRDefault="00002B6C" w:rsidP="00002B6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potential environmental impacts</w:t>
      </w:r>
    </w:p>
    <w:p w:rsidR="00002B6C" w:rsidRPr="00002B6C" w:rsidRDefault="00002B6C" w:rsidP="00002B6C">
      <w:pPr>
        <w:pStyle w:val="ListParagraph"/>
        <w:rPr>
          <w:sz w:val="24"/>
          <w:szCs w:val="24"/>
        </w:rPr>
      </w:pPr>
    </w:p>
    <w:p w:rsidR="00002B6C" w:rsidRDefault="00F0734B" w:rsidP="00002B6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Financial value</w:t>
      </w:r>
      <w:r w:rsidR="00002B6C">
        <w:rPr>
          <w:sz w:val="24"/>
          <w:szCs w:val="24"/>
        </w:rPr>
        <w:t xml:space="preserve"> of the building</w:t>
      </w:r>
    </w:p>
    <w:p w:rsidR="00777DF3" w:rsidRPr="00777DF3" w:rsidRDefault="00777DF3" w:rsidP="00777DF3">
      <w:pPr>
        <w:pStyle w:val="ListParagraph"/>
        <w:rPr>
          <w:sz w:val="24"/>
          <w:szCs w:val="24"/>
        </w:rPr>
      </w:pPr>
    </w:p>
    <w:p w:rsidR="00777DF3" w:rsidRPr="00002B6C" w:rsidRDefault="00777DF3" w:rsidP="00002B6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Potential limitations of the modelling approach used</w:t>
      </w:r>
    </w:p>
    <w:p w:rsidR="00002B6C" w:rsidRDefault="00002B6C" w:rsidP="00FC63D6">
      <w:pPr>
        <w:rPr>
          <w:sz w:val="24"/>
          <w:szCs w:val="24"/>
        </w:rPr>
      </w:pPr>
    </w:p>
    <w:p w:rsidR="00002B6C" w:rsidRDefault="00002B6C" w:rsidP="00002B6C">
      <w:pPr>
        <w:pStyle w:val="KTHnRubrik1"/>
      </w:pPr>
      <w:r>
        <w:t>The</w:t>
      </w:r>
      <w:r w:rsidR="00975001">
        <w:t xml:space="preserve"> Lab</w:t>
      </w:r>
      <w:r>
        <w:t xml:space="preserve"> Report</w:t>
      </w:r>
    </w:p>
    <w:p w:rsidR="00002B6C" w:rsidRPr="00002B6C" w:rsidRDefault="00002B6C" w:rsidP="00002B6C">
      <w:pPr>
        <w:pStyle w:val="BodyText"/>
        <w:rPr>
          <w:rFonts w:cs="Times New Roman"/>
          <w:sz w:val="24"/>
          <w:szCs w:val="24"/>
        </w:rPr>
      </w:pPr>
      <w:r w:rsidRPr="00002B6C">
        <w:rPr>
          <w:rFonts w:cs="Times New Roman"/>
          <w:sz w:val="24"/>
          <w:szCs w:val="24"/>
        </w:rPr>
        <w:t xml:space="preserve">Your </w:t>
      </w:r>
      <w:r w:rsidR="00975001">
        <w:rPr>
          <w:rFonts w:cs="Times New Roman"/>
          <w:sz w:val="24"/>
          <w:szCs w:val="24"/>
        </w:rPr>
        <w:t>lab</w:t>
      </w:r>
      <w:r w:rsidRPr="00002B6C">
        <w:rPr>
          <w:rFonts w:cs="Times New Roman"/>
          <w:sz w:val="24"/>
          <w:szCs w:val="24"/>
        </w:rPr>
        <w:t xml:space="preserve"> shall </w:t>
      </w:r>
      <w:r w:rsidR="00FC63D6">
        <w:rPr>
          <w:rFonts w:cs="Times New Roman"/>
          <w:sz w:val="24"/>
          <w:szCs w:val="24"/>
        </w:rPr>
        <w:t xml:space="preserve">be in the same format as other lab reports. You must hand in your lab </w:t>
      </w:r>
      <w:r w:rsidRPr="00002B6C">
        <w:rPr>
          <w:rFonts w:cs="Times New Roman"/>
          <w:sz w:val="24"/>
          <w:szCs w:val="24"/>
        </w:rPr>
        <w:t xml:space="preserve">report </w:t>
      </w:r>
      <w:r w:rsidRPr="00002B6C">
        <w:rPr>
          <w:rFonts w:cs="Times New Roman"/>
          <w:b/>
          <w:bCs/>
          <w:i/>
          <w:iCs/>
          <w:sz w:val="24"/>
          <w:szCs w:val="24"/>
        </w:rPr>
        <w:t>the same day no later than 18:00</w:t>
      </w:r>
      <w:r w:rsidRPr="00002B6C">
        <w:rPr>
          <w:rFonts w:cs="Times New Roman"/>
          <w:sz w:val="24"/>
          <w:szCs w:val="24"/>
        </w:rPr>
        <w:t>.</w:t>
      </w:r>
    </w:p>
    <w:sectPr w:rsidR="00002B6C" w:rsidRPr="00002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59" w:rsidRDefault="00051859" w:rsidP="00AB37AC">
      <w:r>
        <w:separator/>
      </w:r>
    </w:p>
  </w:endnote>
  <w:endnote w:type="continuationSeparator" w:id="0">
    <w:p w:rsidR="00051859" w:rsidRDefault="0005185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59" w:rsidRDefault="00051859" w:rsidP="00AB37AC">
      <w:r>
        <w:separator/>
      </w:r>
    </w:p>
  </w:footnote>
  <w:footnote w:type="continuationSeparator" w:id="0">
    <w:p w:rsidR="00051859" w:rsidRDefault="0005185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68015C"/>
    <w:multiLevelType w:val="hybridMultilevel"/>
    <w:tmpl w:val="8F4CFA2E"/>
    <w:lvl w:ilvl="0" w:tplc="ACD28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D932E53"/>
    <w:multiLevelType w:val="hybridMultilevel"/>
    <w:tmpl w:val="35266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26D0E7C"/>
    <w:multiLevelType w:val="hybridMultilevel"/>
    <w:tmpl w:val="196A36B4"/>
    <w:lvl w:ilvl="0" w:tplc="48D23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D5A70"/>
    <w:multiLevelType w:val="hybridMultilevel"/>
    <w:tmpl w:val="204C85FA"/>
    <w:lvl w:ilvl="0" w:tplc="E35E40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6"/>
  <w:drawingGridVerticalSpacing w:val="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9"/>
    <w:rsid w:val="00002B6C"/>
    <w:rsid w:val="00037A26"/>
    <w:rsid w:val="00051859"/>
    <w:rsid w:val="00054D6B"/>
    <w:rsid w:val="000A6271"/>
    <w:rsid w:val="000B4D37"/>
    <w:rsid w:val="000E0B56"/>
    <w:rsid w:val="000F0D78"/>
    <w:rsid w:val="0011543E"/>
    <w:rsid w:val="001621F9"/>
    <w:rsid w:val="001741B3"/>
    <w:rsid w:val="0018642A"/>
    <w:rsid w:val="001B76BE"/>
    <w:rsid w:val="001F3547"/>
    <w:rsid w:val="002A115A"/>
    <w:rsid w:val="002B41D0"/>
    <w:rsid w:val="002E47D4"/>
    <w:rsid w:val="002F350E"/>
    <w:rsid w:val="00310604"/>
    <w:rsid w:val="0036006A"/>
    <w:rsid w:val="00383258"/>
    <w:rsid w:val="003A221F"/>
    <w:rsid w:val="003B55F6"/>
    <w:rsid w:val="003D5E50"/>
    <w:rsid w:val="003D7B5A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5A0897"/>
    <w:rsid w:val="005D3D66"/>
    <w:rsid w:val="00611DEC"/>
    <w:rsid w:val="00621801"/>
    <w:rsid w:val="006574CC"/>
    <w:rsid w:val="006C3154"/>
    <w:rsid w:val="00777DF3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07BF4"/>
    <w:rsid w:val="00922FFA"/>
    <w:rsid w:val="00923193"/>
    <w:rsid w:val="009361E7"/>
    <w:rsid w:val="00975001"/>
    <w:rsid w:val="00981197"/>
    <w:rsid w:val="009A3428"/>
    <w:rsid w:val="009A59C3"/>
    <w:rsid w:val="00A37248"/>
    <w:rsid w:val="00A506FD"/>
    <w:rsid w:val="00A720E4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81DDB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C928F9"/>
    <w:rsid w:val="00CA1809"/>
    <w:rsid w:val="00D2245B"/>
    <w:rsid w:val="00DC4DFC"/>
    <w:rsid w:val="00EB07F4"/>
    <w:rsid w:val="00EE56CA"/>
    <w:rsid w:val="00EF1D64"/>
    <w:rsid w:val="00F0734B"/>
    <w:rsid w:val="00F57388"/>
    <w:rsid w:val="00F61EAE"/>
    <w:rsid w:val="00F94E56"/>
    <w:rsid w:val="00FA2711"/>
    <w:rsid w:val="00FC5FBC"/>
    <w:rsid w:val="00FC63D6"/>
    <w:rsid w:val="00FE2E0E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CA1809"/>
    <w:rPr>
      <w:rFonts w:ascii="Times New Roman" w:hAnsi="Times New Roman"/>
      <w:lang w:val="en-GB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ListParagraph">
    <w:name w:val="List Paragraph"/>
    <w:basedOn w:val="Normal"/>
    <w:uiPriority w:val="34"/>
    <w:semiHidden/>
    <w:qFormat/>
    <w:rsid w:val="00B81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CA1809"/>
    <w:rPr>
      <w:rFonts w:ascii="Times New Roman" w:hAnsi="Times New Roman"/>
      <w:lang w:val="en-GB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ListParagraph">
    <w:name w:val="List Paragraph"/>
    <w:basedOn w:val="Normal"/>
    <w:uiPriority w:val="34"/>
    <w:semiHidden/>
    <w:qFormat/>
    <w:rsid w:val="00B8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2017-09-13T13:30:00Z</dcterms:created>
  <dcterms:modified xsi:type="dcterms:W3CDTF">2017-09-13T13:30:00Z</dcterms:modified>
</cp:coreProperties>
</file>